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23A98" w:rsidRPr="00023A98" w:rsidRDefault="00023A98" w:rsidP="00023A98">
      <w:pPr>
        <w:spacing w:after="150" w:line="390" w:lineRule="atLeast"/>
        <w:textAlignment w:val="baseline"/>
        <w:outlineLvl w:val="0"/>
        <w:rPr>
          <w:rFonts w:ascii="Arial" w:eastAsia="Times New Roman" w:hAnsi="Arial" w:cs="Arial"/>
          <w:b/>
          <w:bCs/>
          <w:caps/>
          <w:color w:val="000000"/>
          <w:kern w:val="36"/>
          <w:sz w:val="45"/>
          <w:szCs w:val="45"/>
          <w:lang w:eastAsia="it-IT"/>
        </w:rPr>
      </w:pPr>
      <w:r w:rsidRPr="00023A98">
        <w:rPr>
          <w:rFonts w:ascii="Arial" w:eastAsia="Times New Roman" w:hAnsi="Arial" w:cs="Arial"/>
          <w:b/>
          <w:bCs/>
          <w:caps/>
          <w:color w:val="000000"/>
          <w:kern w:val="36"/>
          <w:sz w:val="45"/>
          <w:szCs w:val="45"/>
          <w:lang w:eastAsia="it-IT"/>
        </w:rPr>
        <w:t>CARTA DI CIRCOLAZIONE</w:t>
      </w:r>
    </w:p>
    <w:p w:rsidR="00023A98" w:rsidRDefault="00023A98" w:rsidP="00023A98">
      <w:pPr>
        <w:spacing w:after="0" w:line="240" w:lineRule="auto"/>
        <w:textAlignment w:val="baseline"/>
        <w:outlineLvl w:val="2"/>
        <w:rPr>
          <w:rFonts w:ascii="Arial" w:eastAsia="Times New Roman" w:hAnsi="Arial" w:cs="Arial"/>
          <w:color w:val="000000"/>
          <w:sz w:val="33"/>
          <w:szCs w:val="33"/>
          <w:lang w:eastAsia="it-IT"/>
        </w:rPr>
      </w:pPr>
      <w:r w:rsidRPr="00023A98">
        <w:rPr>
          <w:rFonts w:ascii="Arial" w:eastAsia="Times New Roman" w:hAnsi="Arial" w:cs="Arial"/>
          <w:color w:val="000000"/>
          <w:sz w:val="33"/>
          <w:szCs w:val="33"/>
          <w:lang w:eastAsia="it-IT"/>
        </w:rPr>
        <w:t>Obbligatoria l’annotazione sul libretto della disponibilità di un mezzo da parte di soggetti terzi dal 3 novembre. La multa, per chi non lo fa, è di 705 euro. Ma non riguarda i famigliari. Ecco tutte le esenzioni.</w:t>
      </w:r>
    </w:p>
    <w:p w:rsidR="00023A98" w:rsidRPr="00023A98" w:rsidRDefault="00023A98" w:rsidP="00023A98">
      <w:pPr>
        <w:spacing w:after="0" w:line="240" w:lineRule="auto"/>
        <w:textAlignment w:val="baseline"/>
        <w:outlineLvl w:val="2"/>
        <w:rPr>
          <w:rFonts w:ascii="Arial" w:eastAsia="Times New Roman" w:hAnsi="Arial" w:cs="Arial"/>
          <w:color w:val="000000"/>
          <w:sz w:val="33"/>
          <w:szCs w:val="33"/>
          <w:lang w:eastAsia="it-IT"/>
        </w:rPr>
      </w:pPr>
      <w:bookmarkStart w:id="0" w:name="_GoBack"/>
      <w:bookmarkEnd w:id="0"/>
    </w:p>
    <w:p w:rsidR="00023A98" w:rsidRPr="00023A98" w:rsidRDefault="00023A98" w:rsidP="00023A98">
      <w:pPr>
        <w:spacing w:after="0" w:line="390" w:lineRule="atLeast"/>
        <w:textAlignment w:val="baseline"/>
        <w:rPr>
          <w:rFonts w:ascii="Arial" w:eastAsia="Times New Roman" w:hAnsi="Arial" w:cs="Arial"/>
          <w:color w:val="4B4B4B"/>
          <w:sz w:val="24"/>
          <w:szCs w:val="24"/>
          <w:lang w:eastAsia="it-IT"/>
        </w:rPr>
      </w:pPr>
      <w:r w:rsidRPr="00023A98">
        <w:rPr>
          <w:rFonts w:ascii="Arial" w:eastAsia="Times New Roman" w:hAnsi="Arial" w:cs="Arial"/>
          <w:b/>
          <w:bCs/>
          <w:color w:val="4B4B4B"/>
          <w:sz w:val="24"/>
          <w:szCs w:val="24"/>
          <w:lang w:eastAsia="it-IT"/>
        </w:rPr>
        <w:t>14.11.2014</w:t>
      </w:r>
      <w:r w:rsidRPr="00023A98">
        <w:rPr>
          <w:rFonts w:ascii="Arial" w:eastAsia="Times New Roman" w:hAnsi="Arial" w:cs="Arial"/>
          <w:color w:val="4B4B4B"/>
          <w:sz w:val="24"/>
          <w:szCs w:val="24"/>
          <w:lang w:eastAsia="it-IT"/>
        </w:rPr>
        <w:t> A fare chiarezza sulla nuova regola che è entrata in vigore lo scorso 3 novembre è il direttore generale della Motorizzazione, Maurizio Vitelli, che spiega esattamente chi riguarda e chi è esentato.</w:t>
      </w:r>
      <w:r w:rsidRPr="00023A98">
        <w:rPr>
          <w:rFonts w:ascii="Arial" w:eastAsia="Times New Roman" w:hAnsi="Arial" w:cs="Arial"/>
          <w:color w:val="4B4B4B"/>
          <w:sz w:val="24"/>
          <w:szCs w:val="24"/>
          <w:lang w:eastAsia="it-IT"/>
        </w:rPr>
        <w:br/>
      </w:r>
      <w:r w:rsidRPr="00023A98">
        <w:rPr>
          <w:rFonts w:ascii="Arial" w:eastAsia="Times New Roman" w:hAnsi="Arial" w:cs="Arial"/>
          <w:i/>
          <w:iCs/>
          <w:color w:val="4B4B4B"/>
          <w:sz w:val="24"/>
          <w:szCs w:val="24"/>
          <w:lang w:eastAsia="it-IT"/>
        </w:rPr>
        <w:t>“E’ importante precisare che la norma esclude tutte le situazioni in cui la natura dei rapporti intercorrenti tra proprietario del veicolo e soggetto che ne dispone abbiano rapporti di parentela. Quindi non riguarda, per esempio, il figlio che guida la macchina del padre o situazioni simili, così come i veicoli che rientrano nella fattispecie dei fringe benefit o delle vetture di servizio”</w:t>
      </w:r>
      <w:r w:rsidRPr="00023A98">
        <w:rPr>
          <w:rFonts w:ascii="Arial" w:eastAsia="Times New Roman" w:hAnsi="Arial" w:cs="Arial"/>
          <w:color w:val="4B4B4B"/>
          <w:sz w:val="24"/>
          <w:szCs w:val="24"/>
          <w:lang w:eastAsia="it-IT"/>
        </w:rPr>
        <w:t>.</w:t>
      </w:r>
    </w:p>
    <w:p w:rsidR="00023A98" w:rsidRPr="00023A98" w:rsidRDefault="00023A98" w:rsidP="00023A98">
      <w:pPr>
        <w:spacing w:after="0" w:line="390" w:lineRule="atLeast"/>
        <w:textAlignment w:val="baseline"/>
        <w:rPr>
          <w:rFonts w:ascii="Arial" w:eastAsia="Times New Roman" w:hAnsi="Arial" w:cs="Arial"/>
          <w:color w:val="4B4B4B"/>
          <w:sz w:val="24"/>
          <w:szCs w:val="24"/>
          <w:lang w:eastAsia="it-IT"/>
        </w:rPr>
      </w:pPr>
      <w:r w:rsidRPr="00023A98">
        <w:rPr>
          <w:rFonts w:ascii="Arial" w:eastAsia="Times New Roman" w:hAnsi="Arial" w:cs="Arial"/>
          <w:color w:val="4B4B4B"/>
          <w:sz w:val="24"/>
          <w:szCs w:val="24"/>
          <w:lang w:eastAsia="it-IT"/>
        </w:rPr>
        <w:t>Tra le categorie incluse, invece, ci sono </w:t>
      </w:r>
      <w:r w:rsidRPr="00023A98">
        <w:rPr>
          <w:rFonts w:ascii="Arial" w:eastAsia="Times New Roman" w:hAnsi="Arial" w:cs="Arial"/>
          <w:i/>
          <w:iCs/>
          <w:color w:val="4B4B4B"/>
          <w:sz w:val="24"/>
          <w:szCs w:val="24"/>
          <w:lang w:eastAsia="it-IT"/>
        </w:rPr>
        <w:t>“le società di autonoleggio, i veicoli in comodato, quelli di proprietà di minorenni non emancipati ed interdetti, quelli messi a disposizione della pubblica amministrazione a seguito di una pronuncia giudiziaria”</w:t>
      </w:r>
      <w:r w:rsidRPr="00023A98">
        <w:rPr>
          <w:rFonts w:ascii="Arial" w:eastAsia="Times New Roman" w:hAnsi="Arial" w:cs="Arial"/>
          <w:color w:val="4B4B4B"/>
          <w:sz w:val="24"/>
          <w:szCs w:val="24"/>
          <w:lang w:eastAsia="it-IT"/>
        </w:rPr>
        <w:t>.</w:t>
      </w:r>
    </w:p>
    <w:p w:rsidR="00023A98" w:rsidRPr="00023A98" w:rsidRDefault="00023A98" w:rsidP="00023A98">
      <w:pPr>
        <w:spacing w:after="0" w:line="1080" w:lineRule="atLeast"/>
        <w:textAlignment w:val="baseline"/>
        <w:outlineLvl w:val="1"/>
        <w:rPr>
          <w:rFonts w:ascii="Arial" w:eastAsia="Times New Roman" w:hAnsi="Arial" w:cs="Arial"/>
          <w:color w:val="000000"/>
          <w:sz w:val="36"/>
          <w:szCs w:val="36"/>
          <w:lang w:eastAsia="it-IT"/>
        </w:rPr>
      </w:pPr>
      <w:r w:rsidRPr="00023A98">
        <w:rPr>
          <w:rFonts w:ascii="Arial" w:eastAsia="Times New Roman" w:hAnsi="Arial" w:cs="Arial"/>
          <w:color w:val="000000"/>
          <w:sz w:val="36"/>
          <w:szCs w:val="36"/>
          <w:lang w:eastAsia="it-IT"/>
        </w:rPr>
        <w:t>Dal 3 novembre cambia la legge sul libretto di circolazione</w:t>
      </w:r>
    </w:p>
    <w:p w:rsidR="00023A98" w:rsidRPr="00023A98" w:rsidRDefault="00023A98" w:rsidP="00023A98">
      <w:pPr>
        <w:spacing w:after="0" w:line="390" w:lineRule="atLeast"/>
        <w:textAlignment w:val="baseline"/>
        <w:rPr>
          <w:rFonts w:ascii="Arial" w:eastAsia="Times New Roman" w:hAnsi="Arial" w:cs="Arial"/>
          <w:color w:val="4B4B4B"/>
          <w:sz w:val="24"/>
          <w:szCs w:val="24"/>
          <w:lang w:eastAsia="it-IT"/>
        </w:rPr>
      </w:pPr>
      <w:r w:rsidRPr="00023A98">
        <w:rPr>
          <w:rFonts w:ascii="Arial" w:eastAsia="Times New Roman" w:hAnsi="Arial" w:cs="Arial"/>
          <w:b/>
          <w:bCs/>
          <w:color w:val="4B4B4B"/>
          <w:sz w:val="24"/>
          <w:szCs w:val="24"/>
          <w:lang w:eastAsia="it-IT"/>
        </w:rPr>
        <w:t>10.10.2014</w:t>
      </w:r>
      <w:r w:rsidRPr="00023A98">
        <w:rPr>
          <w:rFonts w:ascii="Arial" w:eastAsia="Times New Roman" w:hAnsi="Arial" w:cs="Arial"/>
          <w:color w:val="4B4B4B"/>
          <w:sz w:val="24"/>
          <w:szCs w:val="24"/>
          <w:lang w:eastAsia="it-IT"/>
        </w:rPr>
        <w:t xml:space="preserve"> Sono passati due anni dall’entrata in vigore dal </w:t>
      </w:r>
      <w:proofErr w:type="spellStart"/>
      <w:r w:rsidRPr="00023A98">
        <w:rPr>
          <w:rFonts w:ascii="Arial" w:eastAsia="Times New Roman" w:hAnsi="Arial" w:cs="Arial"/>
          <w:color w:val="4B4B4B"/>
          <w:sz w:val="24"/>
          <w:szCs w:val="24"/>
          <w:lang w:eastAsia="it-IT"/>
        </w:rPr>
        <w:t>D.Lgs.</w:t>
      </w:r>
      <w:proofErr w:type="spellEnd"/>
      <w:r w:rsidRPr="00023A98">
        <w:rPr>
          <w:rFonts w:ascii="Arial" w:eastAsia="Times New Roman" w:hAnsi="Arial" w:cs="Arial"/>
          <w:color w:val="4B4B4B"/>
          <w:sz w:val="24"/>
          <w:szCs w:val="24"/>
          <w:lang w:eastAsia="it-IT"/>
        </w:rPr>
        <w:t xml:space="preserve"> n. 198/12 che modificava le regole riguardanti la </w:t>
      </w:r>
      <w:r w:rsidRPr="00023A98">
        <w:rPr>
          <w:rFonts w:ascii="Arial" w:eastAsia="Times New Roman" w:hAnsi="Arial" w:cs="Arial"/>
          <w:b/>
          <w:bCs/>
          <w:color w:val="4B4B4B"/>
          <w:sz w:val="24"/>
          <w:szCs w:val="24"/>
          <w:lang w:eastAsia="it-IT"/>
        </w:rPr>
        <w:t>carta di circolazione</w:t>
      </w:r>
      <w:r w:rsidRPr="00023A98">
        <w:rPr>
          <w:rFonts w:ascii="Arial" w:eastAsia="Times New Roman" w:hAnsi="Arial" w:cs="Arial"/>
          <w:color w:val="4B4B4B"/>
          <w:sz w:val="24"/>
          <w:szCs w:val="24"/>
          <w:lang w:eastAsia="it-IT"/>
        </w:rPr>
        <w:t>, ma solo quest’estate il Ministero delle Infrastrutture dei Trasporti ha chiarito la questione riguardante l’obbligo di annotazione sulle carte di circolazione dei mezzi di trasporto che sono nella </w:t>
      </w:r>
      <w:r w:rsidRPr="00023A98">
        <w:rPr>
          <w:rFonts w:ascii="Arial" w:eastAsia="Times New Roman" w:hAnsi="Arial" w:cs="Arial"/>
          <w:b/>
          <w:bCs/>
          <w:color w:val="4B4B4B"/>
          <w:sz w:val="24"/>
          <w:szCs w:val="24"/>
          <w:lang w:eastAsia="it-IT"/>
        </w:rPr>
        <w:t>disponibilità di un soggetto diverso dall’intestatario</w:t>
      </w:r>
      <w:r w:rsidRPr="00023A98">
        <w:rPr>
          <w:rFonts w:ascii="Arial" w:eastAsia="Times New Roman" w:hAnsi="Arial" w:cs="Arial"/>
          <w:color w:val="4B4B4B"/>
          <w:sz w:val="24"/>
          <w:szCs w:val="24"/>
          <w:lang w:eastAsia="it-IT"/>
        </w:rPr>
        <w:t> per periodi superiori a 30 giorni.</w:t>
      </w:r>
    </w:p>
    <w:p w:rsidR="00023A98" w:rsidRPr="00023A98" w:rsidRDefault="00023A98" w:rsidP="00023A98">
      <w:pPr>
        <w:spacing w:after="0" w:line="390" w:lineRule="atLeast"/>
        <w:textAlignment w:val="baseline"/>
        <w:rPr>
          <w:rFonts w:ascii="Arial" w:eastAsia="Times New Roman" w:hAnsi="Arial" w:cs="Arial"/>
          <w:color w:val="4B4B4B"/>
          <w:sz w:val="24"/>
          <w:szCs w:val="24"/>
          <w:lang w:eastAsia="it-IT"/>
        </w:rPr>
      </w:pPr>
      <w:r w:rsidRPr="00023A98">
        <w:rPr>
          <w:rFonts w:ascii="Arial" w:eastAsia="Times New Roman" w:hAnsi="Arial" w:cs="Arial"/>
          <w:color w:val="4B4B4B"/>
          <w:sz w:val="24"/>
          <w:szCs w:val="24"/>
          <w:lang w:eastAsia="it-IT"/>
        </w:rPr>
        <w:t xml:space="preserve">Una circolare importante, perché dopo il lungo periodo di vuoto dovuto </w:t>
      </w:r>
      <w:proofErr w:type="spellStart"/>
      <w:r w:rsidRPr="00023A98">
        <w:rPr>
          <w:rFonts w:ascii="Arial" w:eastAsia="Times New Roman" w:hAnsi="Arial" w:cs="Arial"/>
          <w:color w:val="4B4B4B"/>
          <w:sz w:val="24"/>
          <w:szCs w:val="24"/>
          <w:lang w:eastAsia="it-IT"/>
        </w:rPr>
        <w:t>al</w:t>
      </w:r>
      <w:r w:rsidRPr="00023A98">
        <w:rPr>
          <w:rFonts w:ascii="Arial" w:eastAsia="Times New Roman" w:hAnsi="Arial" w:cs="Arial"/>
          <w:b/>
          <w:bCs/>
          <w:color w:val="4B4B4B"/>
          <w:sz w:val="24"/>
          <w:szCs w:val="24"/>
          <w:lang w:eastAsia="it-IT"/>
        </w:rPr>
        <w:t>completamento</w:t>
      </w:r>
      <w:proofErr w:type="spellEnd"/>
      <w:r w:rsidRPr="00023A98">
        <w:rPr>
          <w:rFonts w:ascii="Arial" w:eastAsia="Times New Roman" w:hAnsi="Arial" w:cs="Arial"/>
          <w:b/>
          <w:bCs/>
          <w:color w:val="4B4B4B"/>
          <w:sz w:val="24"/>
          <w:szCs w:val="24"/>
          <w:lang w:eastAsia="it-IT"/>
        </w:rPr>
        <w:t xml:space="preserve"> delle procedure informatiche</w:t>
      </w:r>
      <w:r w:rsidRPr="00023A98">
        <w:rPr>
          <w:rFonts w:ascii="Arial" w:eastAsia="Times New Roman" w:hAnsi="Arial" w:cs="Arial"/>
          <w:color w:val="4B4B4B"/>
          <w:sz w:val="24"/>
          <w:szCs w:val="24"/>
          <w:lang w:eastAsia="it-IT"/>
        </w:rPr>
        <w:t>, scatteranno le sanzioni per la mancata osservanza dei predetti obblighi. </w:t>
      </w:r>
      <w:r w:rsidRPr="00023A98">
        <w:rPr>
          <w:rFonts w:ascii="Arial" w:eastAsia="Times New Roman" w:hAnsi="Arial" w:cs="Arial"/>
          <w:b/>
          <w:bCs/>
          <w:color w:val="4B4B4B"/>
          <w:sz w:val="24"/>
          <w:szCs w:val="24"/>
          <w:lang w:eastAsia="it-IT"/>
        </w:rPr>
        <w:t>Dal prossimo 3 novembre</w:t>
      </w:r>
      <w:r w:rsidRPr="00023A98">
        <w:rPr>
          <w:rFonts w:ascii="Arial" w:eastAsia="Times New Roman" w:hAnsi="Arial" w:cs="Arial"/>
          <w:color w:val="4B4B4B"/>
          <w:sz w:val="24"/>
          <w:szCs w:val="24"/>
          <w:lang w:eastAsia="it-IT"/>
        </w:rPr>
        <w:t>, infatti, chi verrà trovato con il libretto non in regola rischia da una multa fino al ritiro della stessa.</w:t>
      </w:r>
    </w:p>
    <w:p w:rsidR="00023A98" w:rsidRPr="00023A98" w:rsidRDefault="00023A98" w:rsidP="00023A98">
      <w:pPr>
        <w:spacing w:after="0" w:line="390" w:lineRule="atLeast"/>
        <w:textAlignment w:val="baseline"/>
        <w:rPr>
          <w:rFonts w:ascii="Arial" w:eastAsia="Times New Roman" w:hAnsi="Arial" w:cs="Arial"/>
          <w:color w:val="4B4B4B"/>
          <w:sz w:val="24"/>
          <w:szCs w:val="24"/>
          <w:lang w:eastAsia="it-IT"/>
        </w:rPr>
      </w:pPr>
      <w:r w:rsidRPr="00023A98">
        <w:rPr>
          <w:rFonts w:ascii="Arial" w:eastAsia="Times New Roman" w:hAnsi="Arial" w:cs="Arial"/>
          <w:color w:val="4B4B4B"/>
          <w:sz w:val="24"/>
          <w:szCs w:val="24"/>
          <w:lang w:eastAsia="it-IT"/>
        </w:rPr>
        <w:t>Da quella data sarà, dunque, obbligatorio aver </w:t>
      </w:r>
      <w:r w:rsidRPr="00023A98">
        <w:rPr>
          <w:rFonts w:ascii="Arial" w:eastAsia="Times New Roman" w:hAnsi="Arial" w:cs="Arial"/>
          <w:b/>
          <w:bCs/>
          <w:color w:val="4B4B4B"/>
          <w:sz w:val="24"/>
          <w:szCs w:val="24"/>
          <w:lang w:eastAsia="it-IT"/>
        </w:rPr>
        <w:t>aggiornato i dati della carta di circolazione</w:t>
      </w:r>
      <w:r w:rsidRPr="00023A98">
        <w:rPr>
          <w:rFonts w:ascii="Arial" w:eastAsia="Times New Roman" w:hAnsi="Arial" w:cs="Arial"/>
          <w:color w:val="4B4B4B"/>
          <w:sz w:val="24"/>
          <w:szCs w:val="24"/>
          <w:lang w:eastAsia="it-IT"/>
        </w:rPr>
        <w:t> in riferimento alla disponibilità di un soggetto diverso dall’intestatario per periodi superiori a 30 giorni, del nominativo dell’utilizzatore del veicolo e della scadenza temporale dell’utilizzo stesso. Inoltre, per chi è intestatario, l’obbligo di registrazione e annotazione delle variazioni intervenute nella denominazione o, se persona fisica nelle sue generalità. Il costo dell’aggiornamento sarà di 25 euro.</w:t>
      </w:r>
    </w:p>
    <w:p w:rsidR="00023A98" w:rsidRPr="00023A98" w:rsidRDefault="00023A98" w:rsidP="00023A98">
      <w:pPr>
        <w:spacing w:after="0" w:line="390" w:lineRule="atLeast"/>
        <w:textAlignment w:val="baseline"/>
        <w:rPr>
          <w:rFonts w:ascii="Arial" w:eastAsia="Times New Roman" w:hAnsi="Arial" w:cs="Arial"/>
          <w:color w:val="4B4B4B"/>
          <w:sz w:val="24"/>
          <w:szCs w:val="24"/>
          <w:lang w:eastAsia="it-IT"/>
        </w:rPr>
      </w:pPr>
      <w:r w:rsidRPr="00023A98">
        <w:rPr>
          <w:rFonts w:ascii="Arial" w:eastAsia="Times New Roman" w:hAnsi="Arial" w:cs="Arial"/>
          <w:color w:val="4B4B4B"/>
          <w:sz w:val="24"/>
          <w:szCs w:val="24"/>
          <w:lang w:eastAsia="it-IT"/>
        </w:rPr>
        <w:lastRenderedPageBreak/>
        <w:t>La circolare si rivolge principalmente a quelle </w:t>
      </w:r>
      <w:r w:rsidRPr="00023A98">
        <w:rPr>
          <w:rFonts w:ascii="Arial" w:eastAsia="Times New Roman" w:hAnsi="Arial" w:cs="Arial"/>
          <w:b/>
          <w:bCs/>
          <w:color w:val="4B4B4B"/>
          <w:sz w:val="24"/>
          <w:szCs w:val="24"/>
          <w:lang w:eastAsia="it-IT"/>
        </w:rPr>
        <w:t>vetture intestate temporaneamente a titolo di comodato</w:t>
      </w:r>
      <w:r w:rsidRPr="00023A98">
        <w:rPr>
          <w:rFonts w:ascii="Arial" w:eastAsia="Times New Roman" w:hAnsi="Arial" w:cs="Arial"/>
          <w:color w:val="4B4B4B"/>
          <w:sz w:val="24"/>
          <w:szCs w:val="24"/>
          <w:lang w:eastAsia="it-IT"/>
        </w:rPr>
        <w:t xml:space="preserve">; mentre sono escluse quelle riferite a una variazione di denominazione di enti e imprese o di generalità di persone fisiche; l’affidamento in custodia giudiziale; l’intestazione a soggetti incapaci; l’immatricolazione di veicoli con targa “polizia locale”; il </w:t>
      </w:r>
      <w:proofErr w:type="spellStart"/>
      <w:r w:rsidRPr="00023A98">
        <w:rPr>
          <w:rFonts w:ascii="Arial" w:eastAsia="Times New Roman" w:hAnsi="Arial" w:cs="Arial"/>
          <w:color w:val="4B4B4B"/>
          <w:sz w:val="24"/>
          <w:szCs w:val="24"/>
          <w:lang w:eastAsia="it-IT"/>
        </w:rPr>
        <w:t>rent</w:t>
      </w:r>
      <w:proofErr w:type="spellEnd"/>
      <w:r w:rsidRPr="00023A98">
        <w:rPr>
          <w:rFonts w:ascii="Arial" w:eastAsia="Times New Roman" w:hAnsi="Arial" w:cs="Arial"/>
          <w:color w:val="4B4B4B"/>
          <w:sz w:val="24"/>
          <w:szCs w:val="24"/>
          <w:lang w:eastAsia="it-IT"/>
        </w:rPr>
        <w:t xml:space="preserve"> to </w:t>
      </w:r>
      <w:proofErr w:type="spellStart"/>
      <w:r w:rsidRPr="00023A98">
        <w:rPr>
          <w:rFonts w:ascii="Arial" w:eastAsia="Times New Roman" w:hAnsi="Arial" w:cs="Arial"/>
          <w:color w:val="4B4B4B"/>
          <w:sz w:val="24"/>
          <w:szCs w:val="24"/>
          <w:lang w:eastAsia="it-IT"/>
        </w:rPr>
        <w:t>buy</w:t>
      </w:r>
      <w:proofErr w:type="spellEnd"/>
      <w:r w:rsidRPr="00023A98">
        <w:rPr>
          <w:rFonts w:ascii="Arial" w:eastAsia="Times New Roman" w:hAnsi="Arial" w:cs="Arial"/>
          <w:color w:val="4B4B4B"/>
          <w:sz w:val="24"/>
          <w:szCs w:val="24"/>
          <w:lang w:eastAsia="it-IT"/>
        </w:rPr>
        <w:t xml:space="preserve">; il veicolo che fa parte del patrimonio di un trust e viene utilizzato dal </w:t>
      </w:r>
      <w:proofErr w:type="spellStart"/>
      <w:r w:rsidRPr="00023A98">
        <w:rPr>
          <w:rFonts w:ascii="Arial" w:eastAsia="Times New Roman" w:hAnsi="Arial" w:cs="Arial"/>
          <w:color w:val="4B4B4B"/>
          <w:sz w:val="24"/>
          <w:szCs w:val="24"/>
          <w:lang w:eastAsia="it-IT"/>
        </w:rPr>
        <w:t>trustee</w:t>
      </w:r>
      <w:proofErr w:type="spellEnd"/>
      <w:r w:rsidRPr="00023A98">
        <w:rPr>
          <w:rFonts w:ascii="Arial" w:eastAsia="Times New Roman" w:hAnsi="Arial" w:cs="Arial"/>
          <w:color w:val="4B4B4B"/>
          <w:sz w:val="24"/>
          <w:szCs w:val="24"/>
          <w:lang w:eastAsia="it-IT"/>
        </w:rPr>
        <w:t>.</w:t>
      </w:r>
    </w:p>
    <w:p w:rsidR="00023A98" w:rsidRPr="00023A98" w:rsidRDefault="00023A98" w:rsidP="00023A98">
      <w:pPr>
        <w:spacing w:after="0" w:line="390" w:lineRule="atLeast"/>
        <w:textAlignment w:val="baseline"/>
        <w:rPr>
          <w:rFonts w:ascii="Arial" w:eastAsia="Times New Roman" w:hAnsi="Arial" w:cs="Arial"/>
          <w:color w:val="4B4B4B"/>
          <w:sz w:val="24"/>
          <w:szCs w:val="24"/>
          <w:lang w:eastAsia="it-IT"/>
        </w:rPr>
      </w:pPr>
      <w:r w:rsidRPr="00023A98">
        <w:rPr>
          <w:rFonts w:ascii="Arial" w:eastAsia="Times New Roman" w:hAnsi="Arial" w:cs="Arial"/>
          <w:color w:val="4B4B4B"/>
          <w:sz w:val="24"/>
          <w:szCs w:val="24"/>
          <w:lang w:eastAsia="it-IT"/>
        </w:rPr>
        <w:t>Uno dei casi più frequenti è quello del </w:t>
      </w:r>
      <w:r w:rsidRPr="00023A98">
        <w:rPr>
          <w:rFonts w:ascii="Arial" w:eastAsia="Times New Roman" w:hAnsi="Arial" w:cs="Arial"/>
          <w:b/>
          <w:bCs/>
          <w:color w:val="4B4B4B"/>
          <w:sz w:val="24"/>
          <w:szCs w:val="24"/>
          <w:lang w:eastAsia="it-IT"/>
        </w:rPr>
        <w:t>comodato di veicoli aziendali</w:t>
      </w:r>
      <w:r w:rsidRPr="00023A98">
        <w:rPr>
          <w:rFonts w:ascii="Arial" w:eastAsia="Times New Roman" w:hAnsi="Arial" w:cs="Arial"/>
          <w:color w:val="4B4B4B"/>
          <w:sz w:val="24"/>
          <w:szCs w:val="24"/>
          <w:lang w:eastAsia="it-IT"/>
        </w:rPr>
        <w:t xml:space="preserve">, cioè le vetture che vengono concessi, per un periodo superiore ai 30 giorni, ai propri dipendenti. In questi casi è la persona fisica munita del potere di agire in nome e per conto del comodante che, su delega del comodatario (dipendente), presenta istanza per l’annotazione della </w:t>
      </w:r>
      <w:proofErr w:type="spellStart"/>
      <w:r w:rsidRPr="00023A98">
        <w:rPr>
          <w:rFonts w:ascii="Arial" w:eastAsia="Times New Roman" w:hAnsi="Arial" w:cs="Arial"/>
          <w:color w:val="4B4B4B"/>
          <w:sz w:val="24"/>
          <w:szCs w:val="24"/>
          <w:lang w:eastAsia="it-IT"/>
        </w:rPr>
        <w:t>variazionenell’Archivio</w:t>
      </w:r>
      <w:proofErr w:type="spellEnd"/>
      <w:r w:rsidRPr="00023A98">
        <w:rPr>
          <w:rFonts w:ascii="Arial" w:eastAsia="Times New Roman" w:hAnsi="Arial" w:cs="Arial"/>
          <w:color w:val="4B4B4B"/>
          <w:sz w:val="24"/>
          <w:szCs w:val="24"/>
          <w:lang w:eastAsia="it-IT"/>
        </w:rPr>
        <w:t xml:space="preserve"> Nazionale dei Veicoli.</w:t>
      </w:r>
    </w:p>
    <w:p w:rsidR="00023A98" w:rsidRPr="00023A98" w:rsidRDefault="00023A98" w:rsidP="00023A98">
      <w:pPr>
        <w:spacing w:after="0" w:line="390" w:lineRule="atLeast"/>
        <w:textAlignment w:val="baseline"/>
        <w:rPr>
          <w:rFonts w:ascii="Arial" w:eastAsia="Times New Roman" w:hAnsi="Arial" w:cs="Arial"/>
          <w:color w:val="4B4B4B"/>
          <w:sz w:val="24"/>
          <w:szCs w:val="24"/>
          <w:lang w:eastAsia="it-IT"/>
        </w:rPr>
      </w:pPr>
      <w:r w:rsidRPr="00023A98">
        <w:rPr>
          <w:rFonts w:ascii="Arial" w:eastAsia="Times New Roman" w:hAnsi="Arial" w:cs="Arial"/>
          <w:color w:val="4B4B4B"/>
          <w:sz w:val="24"/>
          <w:szCs w:val="24"/>
          <w:lang w:eastAsia="it-IT"/>
        </w:rPr>
        <w:t>La nuova norma è pensata </w:t>
      </w:r>
      <w:r w:rsidRPr="00023A98">
        <w:rPr>
          <w:rFonts w:ascii="Arial" w:eastAsia="Times New Roman" w:hAnsi="Arial" w:cs="Arial"/>
          <w:b/>
          <w:bCs/>
          <w:color w:val="4B4B4B"/>
          <w:sz w:val="24"/>
          <w:szCs w:val="24"/>
          <w:lang w:eastAsia="it-IT"/>
        </w:rPr>
        <w:t>evitare intestazioni fittizie</w:t>
      </w:r>
      <w:r w:rsidRPr="00023A98">
        <w:rPr>
          <w:rFonts w:ascii="Arial" w:eastAsia="Times New Roman" w:hAnsi="Arial" w:cs="Arial"/>
          <w:color w:val="4B4B4B"/>
          <w:sz w:val="24"/>
          <w:szCs w:val="24"/>
          <w:lang w:eastAsia="it-IT"/>
        </w:rPr>
        <w:t>, ma va sottolineato che vi sono diverse </w:t>
      </w:r>
      <w:r w:rsidRPr="00023A98">
        <w:rPr>
          <w:rFonts w:ascii="Arial" w:eastAsia="Times New Roman" w:hAnsi="Arial" w:cs="Arial"/>
          <w:b/>
          <w:bCs/>
          <w:color w:val="4B4B4B"/>
          <w:sz w:val="24"/>
          <w:szCs w:val="24"/>
          <w:lang w:eastAsia="it-IT"/>
        </w:rPr>
        <w:t>esenzioni dall’obbligo di aggiornare il libretto</w:t>
      </w:r>
      <w:r w:rsidRPr="00023A98">
        <w:rPr>
          <w:rFonts w:ascii="Arial" w:eastAsia="Times New Roman" w:hAnsi="Arial" w:cs="Arial"/>
          <w:color w:val="4B4B4B"/>
          <w:sz w:val="24"/>
          <w:szCs w:val="24"/>
          <w:lang w:eastAsia="it-IT"/>
        </w:rPr>
        <w:t>. Innanzitutto, ed è l’esenzione più importante, la norma non riguarda i </w:t>
      </w:r>
      <w:r w:rsidRPr="00023A98">
        <w:rPr>
          <w:rFonts w:ascii="Arial" w:eastAsia="Times New Roman" w:hAnsi="Arial" w:cs="Arial"/>
          <w:b/>
          <w:bCs/>
          <w:color w:val="4B4B4B"/>
          <w:sz w:val="24"/>
          <w:szCs w:val="24"/>
          <w:lang w:eastAsia="it-IT"/>
        </w:rPr>
        <w:t>famigliari conviventi</w:t>
      </w:r>
      <w:r w:rsidRPr="00023A98">
        <w:rPr>
          <w:rFonts w:ascii="Arial" w:eastAsia="Times New Roman" w:hAnsi="Arial" w:cs="Arial"/>
          <w:color w:val="4B4B4B"/>
          <w:sz w:val="24"/>
          <w:szCs w:val="24"/>
          <w:lang w:eastAsia="it-IT"/>
        </w:rPr>
        <w:t>, a patto che risiedano allo stesso indirizzo. Più </w:t>
      </w:r>
      <w:r w:rsidRPr="00023A98">
        <w:rPr>
          <w:rFonts w:ascii="Arial" w:eastAsia="Times New Roman" w:hAnsi="Arial" w:cs="Arial"/>
          <w:b/>
          <w:bCs/>
          <w:color w:val="4B4B4B"/>
          <w:sz w:val="24"/>
          <w:szCs w:val="24"/>
          <w:lang w:eastAsia="it-IT"/>
        </w:rPr>
        <w:t>confuso il caso di auto (privata) prestata a parenti o amici</w:t>
      </w:r>
      <w:r w:rsidRPr="00023A98">
        <w:rPr>
          <w:rFonts w:ascii="Arial" w:eastAsia="Times New Roman" w:hAnsi="Arial" w:cs="Arial"/>
          <w:color w:val="4B4B4B"/>
          <w:sz w:val="24"/>
          <w:szCs w:val="24"/>
          <w:lang w:eastAsia="it-IT"/>
        </w:rPr>
        <w:t>, dove non vi sono documenti che certifichino che la vettura non è disponibile al guidatore per un periodo inferiore ai 30 giorni. Ma, va detto, neppure documenti che certifichino l’utilizzo continuativo per oltre 30 giorni, quindi è considerabile come probabile esenzione.</w:t>
      </w:r>
    </w:p>
    <w:p w:rsidR="00023A98" w:rsidRPr="00023A98" w:rsidRDefault="00023A98" w:rsidP="00023A98">
      <w:pPr>
        <w:spacing w:line="390" w:lineRule="atLeast"/>
        <w:textAlignment w:val="baseline"/>
        <w:rPr>
          <w:rFonts w:ascii="Arial" w:eastAsia="Times New Roman" w:hAnsi="Arial" w:cs="Arial"/>
          <w:color w:val="4B4B4B"/>
          <w:sz w:val="24"/>
          <w:szCs w:val="24"/>
          <w:lang w:eastAsia="it-IT"/>
        </w:rPr>
      </w:pPr>
      <w:r w:rsidRPr="00023A98">
        <w:rPr>
          <w:rFonts w:ascii="Arial" w:eastAsia="Times New Roman" w:hAnsi="Arial" w:cs="Arial"/>
          <w:color w:val="4B4B4B"/>
          <w:sz w:val="24"/>
          <w:szCs w:val="24"/>
          <w:lang w:eastAsia="it-IT"/>
        </w:rPr>
        <w:t>Inoltre l’</w:t>
      </w:r>
      <w:r w:rsidRPr="00023A98">
        <w:rPr>
          <w:rFonts w:ascii="Arial" w:eastAsia="Times New Roman" w:hAnsi="Arial" w:cs="Arial"/>
          <w:b/>
          <w:bCs/>
          <w:color w:val="4B4B4B"/>
          <w:sz w:val="24"/>
          <w:szCs w:val="24"/>
          <w:lang w:eastAsia="it-IT"/>
        </w:rPr>
        <w:t>intestazione temporanea non è retroattiva</w:t>
      </w:r>
      <w:r w:rsidRPr="00023A98">
        <w:rPr>
          <w:rFonts w:ascii="Arial" w:eastAsia="Times New Roman" w:hAnsi="Arial" w:cs="Arial"/>
          <w:color w:val="4B4B4B"/>
          <w:sz w:val="24"/>
          <w:szCs w:val="24"/>
          <w:lang w:eastAsia="it-IT"/>
        </w:rPr>
        <w:t>, quindi che ha già a disposizione una vettura non deve aggiornare la carta di circolazione. Vanno esclusi anche i veicoli aziendali dati come fringe benefit perché sostitutivi di un compenso, mentre il comodato è a titolo gratuito.</w:t>
      </w:r>
    </w:p>
    <w:p w:rsidR="00C8179A" w:rsidRDefault="00C8179A"/>
    <w:sectPr w:rsidR="00C8179A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283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23A98"/>
    <w:rsid w:val="00023A98"/>
    <w:rsid w:val="00C8179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4247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0458213">
          <w:marLeft w:val="0"/>
          <w:marRight w:val="0"/>
          <w:marTop w:val="0"/>
          <w:marBottom w:val="300"/>
          <w:divBdr>
            <w:top w:val="none" w:sz="0" w:space="0" w:color="auto"/>
            <w:left w:val="none" w:sz="0" w:space="0" w:color="auto"/>
            <w:bottom w:val="single" w:sz="6" w:space="15" w:color="E9E9E9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623</Words>
  <Characters>3557</Characters>
  <Application>Microsoft Office Word</Application>
  <DocSecurity>0</DocSecurity>
  <Lines>29</Lines>
  <Paragraphs>8</Paragraphs>
  <ScaleCrop>false</ScaleCrop>
  <Company/>
  <LinksUpToDate>false</LinksUpToDate>
  <CharactersWithSpaces>4172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Sarino</dc:creator>
  <cp:lastModifiedBy>Sarino</cp:lastModifiedBy>
  <cp:revision>2</cp:revision>
  <dcterms:created xsi:type="dcterms:W3CDTF">2015-12-17T09:35:00Z</dcterms:created>
  <dcterms:modified xsi:type="dcterms:W3CDTF">2015-12-17T09:36:00Z</dcterms:modified>
</cp:coreProperties>
</file>